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19" w:rsidRDefault="00E7178D">
      <w:r>
        <w:rPr>
          <w:sz w:val="28"/>
          <w:szCs w:val="28"/>
        </w:rPr>
        <w:t>Punti salienti per la convenzione di medicina generale: proposte della sezione di Palermo</w:t>
      </w:r>
    </w:p>
    <w:p w:rsidR="00553C19" w:rsidRDefault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Stato giuridico del MMG </w:t>
      </w:r>
    </w:p>
    <w:p w:rsidR="00553C19" w:rsidRDefault="00E7178D">
      <w:pPr>
        <w:pStyle w:val="Paragrafoelenco"/>
      </w:pPr>
      <w:r>
        <w:rPr>
          <w:sz w:val="28"/>
          <w:szCs w:val="28"/>
        </w:rPr>
        <w:t xml:space="preserve">Tale punto deve essere considerato di primaria importanza. </w:t>
      </w:r>
    </w:p>
    <w:p w:rsidR="00553C19" w:rsidRDefault="00E7178D">
      <w:pPr>
        <w:pStyle w:val="Paragrafoelenco"/>
      </w:pPr>
      <w:r>
        <w:rPr>
          <w:sz w:val="28"/>
          <w:szCs w:val="28"/>
        </w:rPr>
        <w:t xml:space="preserve">Non può essere considerata la condizione di para subordinazione  ma quella di libero professionista convenzionato con uguali diritti e doveri con l’Azienda. Ogni volta che viene promulgata una legge, decreto, DPCM che incide direttamente o indirettamente sulla convenzione automaticamente deve essere riaperto il tavolo delle trattative perché la norma sia “assorbita” dalla convenzione . </w:t>
      </w:r>
    </w:p>
    <w:p w:rsidR="00553C19" w:rsidRDefault="00553C19">
      <w:pPr>
        <w:pStyle w:val="Paragrafoelenco"/>
      </w:pPr>
    </w:p>
    <w:p w:rsidR="00553C19" w:rsidRDefault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Garantire la massa finanziaria al 2010 sia a livello nazionale che regionale come base negoziale.</w:t>
      </w:r>
      <w:r w:rsidR="009B7476">
        <w:rPr>
          <w:sz w:val="28"/>
          <w:szCs w:val="28"/>
        </w:rPr>
        <w:t xml:space="preserve"> (trovare istituti</w:t>
      </w:r>
      <w:r w:rsidR="00AC52B4">
        <w:rPr>
          <w:sz w:val="28"/>
          <w:szCs w:val="28"/>
        </w:rPr>
        <w:t xml:space="preserve">  la </w:t>
      </w:r>
      <w:r w:rsidR="009B7476">
        <w:rPr>
          <w:sz w:val="28"/>
          <w:szCs w:val="28"/>
        </w:rPr>
        <w:t>cui</w:t>
      </w:r>
      <w:r w:rsidR="00AC52B4">
        <w:rPr>
          <w:sz w:val="28"/>
          <w:szCs w:val="28"/>
        </w:rPr>
        <w:t xml:space="preserve"> realizzazione </w:t>
      </w:r>
      <w:r w:rsidR="009B7476">
        <w:rPr>
          <w:sz w:val="28"/>
          <w:szCs w:val="28"/>
        </w:rPr>
        <w:t>dipende solo dal MMG)</w:t>
      </w:r>
    </w:p>
    <w:p w:rsidR="00553C19" w:rsidRDefault="00553C19">
      <w:pPr>
        <w:pStyle w:val="Paragrafoelenco"/>
      </w:pPr>
    </w:p>
    <w:p w:rsidR="00553C19" w:rsidRDefault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Considerando che il 50% o più dei MMG vanno in pensione nei prossimi 6 anni, e visto il trend in essere con abbassamento  dell’età media dei pensionamenti o cessazioni oggi a 68 anni, è fondamentale mantenere il numero dei MMG (AP e CA) in convenzione tutelandolo da ogni tentativo di abbassarlo a vantaggio delle altre professioni sanitarie. </w:t>
      </w:r>
    </w:p>
    <w:p w:rsidR="00553C19" w:rsidRDefault="00E7178D">
      <w:pPr>
        <w:pStyle w:val="Paragrafoelenco"/>
      </w:pPr>
      <w:r>
        <w:rPr>
          <w:sz w:val="28"/>
          <w:szCs w:val="28"/>
        </w:rPr>
        <w:t>E’ a tutti noto che la qualità dell’assistenza è direttamente proporzionale allo sviluppo delle cure primarie e ciò indipendentemente dal tipo di assistenza erogata (dipendenza, convenzionamento a quota capitaria o a prestazione) e che tale qualità assistenziale la si raggiunge con un finanziamento più basso rispetto al PIL sempre in relazione allo sviluppo delle Cure Primarie.</w:t>
      </w:r>
    </w:p>
    <w:p w:rsidR="00553C19" w:rsidRDefault="00553C19">
      <w:pPr>
        <w:pStyle w:val="Paragrafoelenco"/>
      </w:pPr>
    </w:p>
    <w:p w:rsidR="00553C19" w:rsidRDefault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In questo senso deve essere previsto un aumento del contingente dei medici in formazione dal 100 al 1</w:t>
      </w:r>
      <w:r w:rsidR="009B7476">
        <w:rPr>
          <w:sz w:val="28"/>
          <w:szCs w:val="28"/>
        </w:rPr>
        <w:t>30% nei prossimi dieci anni fin</w:t>
      </w:r>
      <w:r>
        <w:rPr>
          <w:sz w:val="28"/>
          <w:szCs w:val="28"/>
        </w:rPr>
        <w:t xml:space="preserve"> da subito. Tale dato viene da uno studio fatto sulle graduatorie regionali di alcune regioni al netto dei fuori regione, dei pensionandi presenti in graduatoria ecc. </w:t>
      </w:r>
    </w:p>
    <w:p w:rsidR="00553C19" w:rsidRDefault="00E7178D">
      <w:pPr>
        <w:pStyle w:val="Paragrafoelenco"/>
      </w:pPr>
      <w:r>
        <w:rPr>
          <w:sz w:val="28"/>
          <w:szCs w:val="28"/>
        </w:rPr>
        <w:t xml:space="preserve">Ciò è possibile grazie al saldo positivo di oltre 2000 medici fra il numero di medici che si laureano ogni anno e a quelli che entrano nelle scuole di specializzazione. In altri termini si assiste al paradosso che si spendono oltre 350.000 € per laureare un medico (costi sociali) oltre ai costi  familiari. E poi lo si regala all’estero con un fiocco rosso e si discute se finanziare ulteriormente la borsa di studio del CFSMG (30.000 € in tre anni). Questa condizione  </w:t>
      </w:r>
      <w:r>
        <w:rPr>
          <w:sz w:val="28"/>
          <w:szCs w:val="28"/>
        </w:rPr>
        <w:lastRenderedPageBreak/>
        <w:t xml:space="preserve">faciliterà l’arrivo di medici che possono trasferirsi da paesi dell’est europeo o da altri paesi come già sta avvenendo anche grazie al riconoscimento da parte del </w:t>
      </w:r>
      <w:proofErr w:type="spellStart"/>
      <w:r>
        <w:rPr>
          <w:sz w:val="28"/>
          <w:szCs w:val="28"/>
        </w:rPr>
        <w:t>MinSal</w:t>
      </w:r>
      <w:proofErr w:type="spellEnd"/>
      <w:r>
        <w:rPr>
          <w:sz w:val="28"/>
          <w:szCs w:val="28"/>
        </w:rPr>
        <w:t xml:space="preserve"> di corsi di 1 anno fatti nei paesi di origine. </w:t>
      </w:r>
    </w:p>
    <w:p w:rsidR="00553C19" w:rsidRPr="00E7178D" w:rsidRDefault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Rendere omogeneo il rapporto ottimale su base nazionale per una più efficiente programmazione del fabbisogno sanitario.</w:t>
      </w:r>
    </w:p>
    <w:p w:rsidR="00E7178D" w:rsidRPr="009B7476" w:rsidRDefault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Prevedere una parte anche min</w:t>
      </w:r>
      <w:r w:rsidR="009B7476">
        <w:rPr>
          <w:sz w:val="28"/>
          <w:szCs w:val="28"/>
        </w:rPr>
        <w:t>ima della remunerazione valutata</w:t>
      </w:r>
      <w:r>
        <w:rPr>
          <w:sz w:val="28"/>
          <w:szCs w:val="28"/>
        </w:rPr>
        <w:t xml:space="preserve"> su indicatori di struttura e di processo. In particolare sarebbe strategico individuare indicatori rispetto alla qualità dei dati inseriti nella cartella clinica che pur restando un strumento ad uso del medico, del SSN e dei pazienti può essere valorizzata se risponde a certi requisiti al momento della cessione del medico: insomma non fare volatilizzare decenni di lavoro del medico. </w:t>
      </w:r>
    </w:p>
    <w:p w:rsidR="009B7476" w:rsidRDefault="00982F64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Inoltre una parte</w:t>
      </w:r>
      <w:r w:rsidR="009B7476">
        <w:rPr>
          <w:sz w:val="28"/>
          <w:szCs w:val="28"/>
        </w:rPr>
        <w:t xml:space="preserve"> della remunerazione deve essere legata alla complessità e del peso assistenziale del cittadino assistito</w:t>
      </w:r>
      <w:r>
        <w:rPr>
          <w:sz w:val="28"/>
          <w:szCs w:val="28"/>
        </w:rPr>
        <w:t xml:space="preserve"> o come quota capitaria crescente o come riduzione del numero di massimale in funzione del carico assistenziale.</w:t>
      </w:r>
    </w:p>
    <w:p w:rsidR="00553C19" w:rsidRDefault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Sul ruolo unico prevedere un tempo massimo di anni due perché sia a regime e ciò sempre per consentire la copertura dei pensionamenti, la migliore parametrazione e omogeneizzazione  delle AFT e dei fattori di produzione. Nel passaggio dalla condizione di ciclo orario a ciclo fiduciario e viceversa prevedere per una migliore applicabilità e flessibilità del sistema il transito sia nella cessione che nell’acquisizione di blocchi di sei/quattro ore. La rinuncia al transito dal un ciclo all’altro non può essere definitiva ma il MMG può partecipare alla assegnazione in caso di nuova carenza nell’ambito e ciò anche in considerazione del processo di cambiamento in atto e della relativa incertezza. </w:t>
      </w:r>
    </w:p>
    <w:p w:rsidR="006C6F6D" w:rsidRPr="006C6F6D" w:rsidRDefault="00E7178D" w:rsidP="006C6F6D">
      <w:pPr>
        <w:pStyle w:val="Paragrafoelenco"/>
        <w:numPr>
          <w:ilvl w:val="0"/>
          <w:numId w:val="1"/>
        </w:numPr>
      </w:pPr>
      <w:r w:rsidRPr="006C6F6D">
        <w:rPr>
          <w:sz w:val="28"/>
          <w:szCs w:val="28"/>
        </w:rPr>
        <w:t>La consistenza numerica delle AFT all’articolo 5 viene fissata in 30.000 abitanti ma non viene fissato un limite massimo nelle aree ad alta densità abitativa dove invece viene affermato che può sforare (fino a quanto?).</w:t>
      </w:r>
      <w:r w:rsidR="006C6F6D" w:rsidRPr="006C6F6D">
        <w:rPr>
          <w:sz w:val="28"/>
          <w:szCs w:val="28"/>
        </w:rPr>
        <w:t xml:space="preserve"> Per quanto riguarda il passaggio dall’H24 all’H16 </w:t>
      </w:r>
      <w:r w:rsidR="006C6F6D">
        <w:rPr>
          <w:sz w:val="28"/>
          <w:szCs w:val="28"/>
        </w:rPr>
        <w:t>e il</w:t>
      </w:r>
      <w:r w:rsidR="006C6F6D">
        <w:rPr>
          <w:sz w:val="28"/>
          <w:szCs w:val="28"/>
        </w:rPr>
        <w:t xml:space="preserve"> numero dei presidi già esistenti di GM nel territorio </w:t>
      </w:r>
      <w:r w:rsidR="006C6F6D">
        <w:rPr>
          <w:sz w:val="28"/>
          <w:szCs w:val="28"/>
        </w:rPr>
        <w:t xml:space="preserve">della AFT </w:t>
      </w:r>
      <w:bookmarkStart w:id="0" w:name="_GoBack"/>
      <w:bookmarkEnd w:id="0"/>
      <w:r w:rsidR="006C6F6D" w:rsidRPr="006C6F6D">
        <w:rPr>
          <w:sz w:val="28"/>
          <w:szCs w:val="28"/>
        </w:rPr>
        <w:t>deve essere prevista ampia flessib</w:t>
      </w:r>
      <w:r w:rsidR="006C6F6D">
        <w:rPr>
          <w:sz w:val="28"/>
          <w:szCs w:val="28"/>
        </w:rPr>
        <w:t xml:space="preserve">ilità organizzativa relativa anche alla dispersione </w:t>
      </w:r>
      <w:proofErr w:type="spellStart"/>
      <w:r w:rsidR="006C6F6D">
        <w:rPr>
          <w:sz w:val="28"/>
          <w:szCs w:val="28"/>
        </w:rPr>
        <w:t>orogeografica</w:t>
      </w:r>
      <w:proofErr w:type="spellEnd"/>
      <w:r w:rsidR="006C6F6D">
        <w:rPr>
          <w:sz w:val="28"/>
          <w:szCs w:val="28"/>
        </w:rPr>
        <w:t xml:space="preserve"> della popolazione residente.</w:t>
      </w:r>
    </w:p>
    <w:p w:rsidR="00553C19" w:rsidRDefault="00E7178D" w:rsidP="006C6F6D">
      <w:pPr>
        <w:pStyle w:val="Paragrafoelenco"/>
        <w:numPr>
          <w:ilvl w:val="0"/>
          <w:numId w:val="1"/>
        </w:numPr>
      </w:pPr>
      <w:r w:rsidRPr="006C6F6D">
        <w:rPr>
          <w:sz w:val="28"/>
          <w:szCs w:val="28"/>
        </w:rPr>
        <w:t>Si è convinti che l’ossatura principale degli accordi regionali che seguiranno debba essere prevista dal Sindacato almeno per i punti irrinunciabili oltre alla verifica vincolante della segreteria nazionale prima della firma definitiva.</w:t>
      </w:r>
    </w:p>
    <w:p w:rsidR="00E7178D" w:rsidRPr="00E7178D" w:rsidRDefault="00E7178D" w:rsidP="00E7178D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lastRenderedPageBreak/>
        <w:t xml:space="preserve">Bisogna mantenere l'attuale attribuzione di punteggio per stilare le graduatorie regionali di Medicina Generale, attualmente i MMG non hanno concorrenti, essendo il Diploma di Formazione Specifica assieme all'equipollenza (laureati ed abilitati entro il 31/12/1994) l'unico titolo valido per l'accesso alle graduatorie regionali, anche se le Regioni stanno facendo di tutto perché non sia più così in futuro. E' Preoccupante l'aumento di valore di titoli e punteggio  che vengono attributi a chi è in possesso di specializzazione, che in alcuni casi avrebbero come valore più della metà del punteggio attribuito al DFSMG. </w:t>
      </w:r>
    </w:p>
    <w:p w:rsidR="00E7178D" w:rsidRDefault="00E7178D">
      <w:pPr>
        <w:rPr>
          <w:sz w:val="28"/>
          <w:szCs w:val="28"/>
        </w:rPr>
      </w:pPr>
      <w:r>
        <w:rPr>
          <w:sz w:val="28"/>
          <w:szCs w:val="28"/>
        </w:rPr>
        <w:t>Concludendo</w:t>
      </w:r>
    </w:p>
    <w:p w:rsidR="00553C19" w:rsidRDefault="00E7178D">
      <w:pPr>
        <w:rPr>
          <w:sz w:val="28"/>
          <w:szCs w:val="28"/>
        </w:rPr>
      </w:pPr>
      <w:r>
        <w:rPr>
          <w:sz w:val="28"/>
          <w:szCs w:val="28"/>
        </w:rPr>
        <w:t xml:space="preserve">Per le criticità fin qui espresse e per la congiuntura economica in essere e la instabilità del Paese, storica e attuale, grazie anche agli effetti della </w:t>
      </w:r>
      <w:proofErr w:type="spellStart"/>
      <w:r>
        <w:rPr>
          <w:sz w:val="28"/>
          <w:szCs w:val="28"/>
        </w:rPr>
        <w:t>Brexit</w:t>
      </w:r>
      <w:proofErr w:type="spellEnd"/>
      <w:r>
        <w:rPr>
          <w:sz w:val="28"/>
          <w:szCs w:val="28"/>
        </w:rPr>
        <w:t xml:space="preserve"> ancora non prevedibili nella loro totalità e complessità, si è convinti che fatte salve le principali clausole di salvaguardia il contratto debba essere firmato nel più breve tempo possibile anche in considerazione della ulteriore instabilità che potrebbe </w:t>
      </w:r>
      <w:r w:rsidR="00F75DC3">
        <w:rPr>
          <w:sz w:val="28"/>
          <w:szCs w:val="28"/>
        </w:rPr>
        <w:t>realizzarsi nei</w:t>
      </w:r>
      <w:r w:rsidR="004441A8">
        <w:rPr>
          <w:sz w:val="28"/>
          <w:szCs w:val="28"/>
        </w:rPr>
        <w:t xml:space="preserve"> mesi successivi in caso di</w:t>
      </w:r>
      <w:r w:rsidR="00F75DC3">
        <w:rPr>
          <w:sz w:val="28"/>
          <w:szCs w:val="28"/>
        </w:rPr>
        <w:t xml:space="preserve"> bocciatura del referendum.</w:t>
      </w:r>
    </w:p>
    <w:p w:rsidR="00F75DC3" w:rsidRDefault="00F75DC3">
      <w:r>
        <w:rPr>
          <w:sz w:val="28"/>
          <w:szCs w:val="28"/>
        </w:rPr>
        <w:t>Roma, 09.07.2016</w:t>
      </w:r>
    </w:p>
    <w:p w:rsidR="00553C19" w:rsidRDefault="00553C19">
      <w:pPr>
        <w:pStyle w:val="Paragrafoelenco"/>
      </w:pPr>
    </w:p>
    <w:p w:rsidR="00553C19" w:rsidRDefault="00553C19"/>
    <w:sectPr w:rsidR="00553C1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CA8"/>
    <w:multiLevelType w:val="multilevel"/>
    <w:tmpl w:val="88CC85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BA53D6"/>
    <w:multiLevelType w:val="multilevel"/>
    <w:tmpl w:val="F4D66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53C19"/>
    <w:rsid w:val="004441A8"/>
    <w:rsid w:val="00553C19"/>
    <w:rsid w:val="006C6F6D"/>
    <w:rsid w:val="00982F64"/>
    <w:rsid w:val="009B7476"/>
    <w:rsid w:val="00AC52B4"/>
    <w:rsid w:val="00E7178D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cp:lastPrinted>2016-07-08T21:24:00Z</cp:lastPrinted>
  <dcterms:created xsi:type="dcterms:W3CDTF">2016-07-08T16:07:00Z</dcterms:created>
  <dcterms:modified xsi:type="dcterms:W3CDTF">2016-07-09T07:21:00Z</dcterms:modified>
</cp:coreProperties>
</file>